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A2" w:rsidRPr="00831CA2" w:rsidRDefault="00831CA2" w:rsidP="00831CA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31CA2">
        <w:rPr>
          <w:rFonts w:ascii="Times New Roman" w:hAnsi="Times New Roman" w:cs="Times New Roman"/>
          <w:sz w:val="24"/>
          <w:szCs w:val="24"/>
        </w:rPr>
        <w:br/>
      </w:r>
    </w:p>
    <w:p w:rsidR="00831CA2" w:rsidRPr="00831CA2" w:rsidRDefault="00831CA2" w:rsidP="00831CA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Зарегистрировано в Минюсте России 22 апреля 2015 г. N 36995</w:t>
      </w:r>
    </w:p>
    <w:p w:rsidR="00831CA2" w:rsidRPr="00831CA2" w:rsidRDefault="00831CA2" w:rsidP="00831CA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ПРИКАЗ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от 30 марта 2015 г. N 321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ВЫСШЕГО ОБРАЗОВАНИЯ ПО НАПРАВЛЕНИЮ ПОДГОТОВКИ 38.04.01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ЭКОНОМИКА (УРОВЕНЬ МАГИСТРАТУРЫ)</w:t>
      </w:r>
    </w:p>
    <w:p w:rsidR="00831CA2" w:rsidRPr="00831CA2" w:rsidRDefault="00831CA2" w:rsidP="0083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CA2" w:rsidRPr="00831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831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13.07.2017 N 653)</w:t>
            </w:r>
          </w:p>
        </w:tc>
      </w:tr>
    </w:tbl>
    <w:p w:rsidR="00831CA2" w:rsidRPr="00831CA2" w:rsidRDefault="00831CA2" w:rsidP="00831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5.2.41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8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6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высшего образования по направлению подготовки 38.04.01 Экономика (уровень магистратуры).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20 мая 2010 г. N 543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"магистр")" (зарегистрирован Министерством юстиции Российской Федерации 14 июля 2010 г., регистрационный N 17819);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пункт 71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Министр</w:t>
      </w:r>
    </w:p>
    <w:p w:rsidR="00831CA2" w:rsidRPr="00831CA2" w:rsidRDefault="00831CA2" w:rsidP="00831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Д.В.ЛИВАНОВ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Приложение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Утвержден</w:t>
      </w:r>
    </w:p>
    <w:p w:rsidR="00831CA2" w:rsidRPr="00831CA2" w:rsidRDefault="00831CA2" w:rsidP="00831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831CA2" w:rsidRPr="00831CA2" w:rsidRDefault="00831CA2" w:rsidP="00831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831CA2" w:rsidRPr="00831CA2" w:rsidRDefault="00831CA2" w:rsidP="00831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от 30 марта 2015 г. N 321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831CA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38.04.01 ЭКОНОМИКА</w:t>
      </w:r>
    </w:p>
    <w:p w:rsidR="00831CA2" w:rsidRPr="00831CA2" w:rsidRDefault="00831CA2" w:rsidP="0083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CA2" w:rsidRPr="00831C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" w:history="1">
              <w:r w:rsidRPr="00831C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831CA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13.07.2017 N 653)</w:t>
            </w:r>
          </w:p>
        </w:tc>
      </w:tr>
    </w:tbl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- общекультурные компетенции;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ОПК - общепрофессиональные компетенции;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III. ХАРАКТЕРИСТИКА НАПРАВЛЕНИЯ ПОДГОТОВКИ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Объем программы магистратуры составляет 120 зачетных единиц (далее -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магистратуры: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lastRenderedPageBreak/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>.;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CA2">
        <w:rPr>
          <w:rFonts w:ascii="Times New Roman" w:hAnsi="Times New Roman" w:cs="Times New Roman"/>
          <w:sz w:val="24"/>
          <w:szCs w:val="24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увеличен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за один учебный год при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вне зависимости от формы обучения не может составлять более 75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>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3.5. Реализация программы магистратуры возможна с использованием сетевой формы.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ВЫПУСКНИКОВ, ОСВОИВШИХ ПРОГРАММУ МАГИСТРАТУРЫ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4.1. Область профессиональной деятельности выпускников, освоивших программу магистратуры, включает: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экономические, финансовые, маркетинговые и аналитические службы фирм различных отраслей и форм собственности;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органы государственной и муниципальной власти;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академические и ведомственные научно-исследовательские организации;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организации, образовательные организации высшего образования, дополнительного профессионального образования.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магистратуры, являются: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поведение хозяйствующих агентов, их затраты и результаты,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функционирующие рынки,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финансовые и информационные потоки,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производственные и научно-исследовательские процессы.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проектно-экономическая;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аналитическая;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lastRenderedPageBreak/>
        <w:t>организационно-управленческая;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педагогическая.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должен быть готов решать следующие профессиональные задачи: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разработка рабочих планов и программ проведения научных исследований и разработок, подготовка заданий для групп и отдельных исполнителей;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разработка инструментария проводимых исследований, анализ их результатов;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подготовка данных для составления обзоров, отчетов и научных публикаций;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организация и проведение научных исследований, в том числе статистических обследований и опросов;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проектно-экономическая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подготовка заданий и разработка проектных решений с учетом фактора неопределенности;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подготовка заданий и разработка методических и нормативных документов, а также предложений и мероприятий по реализации разработанных проектов и программ;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подготовка заданий и разработка системы социально-экономических показателей хозяйствующих субъектов;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составление экономических разделов планов предприятий и организаций различных форм собственности;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разработка стратегии поведения экономических агентов на различных рынках;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поиск, анализ и оценка источников информации для проведения экономических расчетов;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проведение оценки эффективности проектов с учетом фактора неопределенности;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анализ существующих форм организации управления; разработка и обоснование предложений по их совершенствованию;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прогнозирование динамики основных социально-экономических показателей деятельности предприятия, отрасли, региона и экономики в целом;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организация творческих коллективов для решения экономических и социальных </w:t>
      </w:r>
      <w:r w:rsidRPr="00831CA2">
        <w:rPr>
          <w:rFonts w:ascii="Times New Roman" w:hAnsi="Times New Roman" w:cs="Times New Roman"/>
          <w:sz w:val="24"/>
          <w:szCs w:val="24"/>
        </w:rPr>
        <w:lastRenderedPageBreak/>
        <w:t>задач и руководство ими;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разработка стратегий развития и функционирования предприятий, организаций и их отдельных подразделений;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образовательных организациях высшего образования, дополнительного профессионального образования, профессиональных образовательных организациях;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разработка учебно-методических материалов.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МАГИСТРАТУРЫ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к абстрактному мышлению, анализу, синтезу (ОК-1);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готовностью к саморазвитию, самореализации, использованию творческого потенциала (ОК-3).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5.3. Выпускник, освоивший программу магистратуры, должен обладать общепрофессиональными компетенциями: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готовностью к коммуникации в устной и письменной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 (ОПК-1);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принимать организационно-управленческие решения (ОПК-3).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обосновывать актуальность, теоретическую и практическую значимость избранной темы научного исследования (ПК-2);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проводить самостоятельные исследования в соответствии с разработанной программой (ПК-3);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представлять результаты проведенного исследования научному сообществу в виде статьи или доклада (ПК-4);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проектно-экономическая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способностью оценивать эффективность проектов с учетом фактора </w:t>
      </w:r>
      <w:r w:rsidRPr="00831CA2">
        <w:rPr>
          <w:rFonts w:ascii="Times New Roman" w:hAnsi="Times New Roman" w:cs="Times New Roman"/>
          <w:sz w:val="24"/>
          <w:szCs w:val="24"/>
        </w:rPr>
        <w:lastRenderedPageBreak/>
        <w:t>неопределенности (ПК-6);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разрабатывать стратегии поведения экономических агентов на различных рынках (ПК-7);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и макроуровне (ПК-8);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(ПК-13);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способностью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 (ПК-14).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5.7. При разработке программы магистратуры требования к результатам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VI. ТРЕБОВАНИЯ К СТРУКТУРЕ ПРОГРАММЫ МАГИСТРАТУРЫ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6.2. Программа магистратуры состоит из следующих блоков: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lastRenderedPageBreak/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Подпункт 5.2.1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1CA2" w:rsidRPr="00831CA2" w:rsidSect="00B80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1CA2" w:rsidRPr="00831CA2" w:rsidRDefault="00831CA2" w:rsidP="00831CA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lastRenderedPageBreak/>
        <w:t>Структура программы магистратуры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Таблица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720"/>
        <w:gridCol w:w="2040"/>
      </w:tblGrid>
      <w:tr w:rsidR="00831CA2" w:rsidRPr="00831CA2">
        <w:tc>
          <w:tcPr>
            <w:tcW w:w="7740" w:type="dxa"/>
            <w:gridSpan w:val="2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магистратуры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магистратуры в </w:t>
            </w:r>
            <w:proofErr w:type="spellStart"/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CA2" w:rsidRPr="00831CA2">
        <w:tc>
          <w:tcPr>
            <w:tcW w:w="1020" w:type="dxa"/>
            <w:vMerge w:val="restart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6720" w:type="dxa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57 - 63</w:t>
            </w:r>
          </w:p>
        </w:tc>
      </w:tr>
      <w:tr w:rsidR="00831CA2" w:rsidRPr="00831CA2">
        <w:tc>
          <w:tcPr>
            <w:tcW w:w="1020" w:type="dxa"/>
            <w:vMerge/>
          </w:tcPr>
          <w:p w:rsidR="00831CA2" w:rsidRPr="00831CA2" w:rsidRDefault="00831CA2" w:rsidP="0083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</w:p>
        </w:tc>
      </w:tr>
      <w:tr w:rsidR="00831CA2" w:rsidRPr="00831CA2">
        <w:tc>
          <w:tcPr>
            <w:tcW w:w="1020" w:type="dxa"/>
            <w:vMerge/>
          </w:tcPr>
          <w:p w:rsidR="00831CA2" w:rsidRPr="00831CA2" w:rsidRDefault="00831CA2" w:rsidP="0083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1CA2" w:rsidRPr="00831CA2">
        <w:tc>
          <w:tcPr>
            <w:tcW w:w="1020" w:type="dxa"/>
            <w:vMerge w:val="restart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6720" w:type="dxa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48 - 57</w:t>
            </w:r>
          </w:p>
        </w:tc>
      </w:tr>
      <w:tr w:rsidR="00831CA2" w:rsidRPr="00831CA2">
        <w:tc>
          <w:tcPr>
            <w:tcW w:w="1020" w:type="dxa"/>
            <w:vMerge/>
          </w:tcPr>
          <w:p w:rsidR="00831CA2" w:rsidRPr="00831CA2" w:rsidRDefault="00831CA2" w:rsidP="00831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48 - 57</w:t>
            </w:r>
          </w:p>
        </w:tc>
      </w:tr>
      <w:tr w:rsidR="00831CA2" w:rsidRPr="00831CA2">
        <w:tc>
          <w:tcPr>
            <w:tcW w:w="1020" w:type="dxa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6720" w:type="dxa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</w:p>
        </w:tc>
      </w:tr>
      <w:tr w:rsidR="00831CA2" w:rsidRPr="00831CA2">
        <w:tc>
          <w:tcPr>
            <w:tcW w:w="7740" w:type="dxa"/>
            <w:gridSpan w:val="2"/>
          </w:tcPr>
          <w:p w:rsidR="00831CA2" w:rsidRPr="00831CA2" w:rsidRDefault="00831CA2" w:rsidP="00831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2040" w:type="dxa"/>
          </w:tcPr>
          <w:p w:rsidR="00831CA2" w:rsidRPr="00831CA2" w:rsidRDefault="00831CA2" w:rsidP="00831C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831CA2" w:rsidRPr="00831CA2" w:rsidRDefault="00831CA2" w:rsidP="0083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1CA2" w:rsidRPr="00831C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Типы производственной практики: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НИР.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Способы проведения учебной и производственной практик: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выездная;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 xml:space="preserve"> России от 13.07.2017 N 653)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установленным настоящим ФГОС ВО.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Учебная и (или) производственная практики могут проводиться в структурных подразделениях организации.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6.6. В Блок 3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6.8.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VII. ТРЕБОВАНИЯ К УСЛОВИЯМ РЕАЛИЗАЦИИ</w:t>
      </w:r>
    </w:p>
    <w:p w:rsidR="00831CA2" w:rsidRPr="00831CA2" w:rsidRDefault="00831CA2" w:rsidP="00831C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lastRenderedPageBreak/>
        <w:t>ПРОГРАММЫ МАГИСТРАТУРЫ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CA2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4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5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7.1.4. В случае реализации программы магистратуры на созданных в установленном </w:t>
      </w:r>
      <w:r w:rsidRPr="00831CA2">
        <w:rPr>
          <w:rFonts w:ascii="Times New Roman" w:hAnsi="Times New Roman" w:cs="Times New Roman"/>
          <w:sz w:val="24"/>
          <w:szCs w:val="24"/>
        </w:rPr>
        <w:lastRenderedPageBreak/>
        <w:t>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6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справочнике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20237), и профессиональным стандартам (при наличии).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7.1.7.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31CA2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31CA2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7.1.8.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</w:t>
      </w:r>
      <w:bookmarkStart w:id="1" w:name="_GoBack"/>
      <w:bookmarkEnd w:id="1"/>
      <w:r w:rsidRPr="00831CA2">
        <w:rPr>
          <w:rFonts w:ascii="Times New Roman" w:hAnsi="Times New Roman" w:cs="Times New Roman"/>
          <w:sz w:val="24"/>
          <w:szCs w:val="24"/>
        </w:rPr>
        <w:t>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80 процентов для программы академической магистратуры;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65 процентов для программы прикладной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lastRenderedPageBreak/>
        <w:t>10 процентов для академической магистратуры;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20 процентов для прикладной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7.2.5.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научных журналах и изданиях, а также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7.3.4. Обучающимся должен быть обеспечен доступ (удаленный доступ), в том числе </w:t>
      </w:r>
      <w:r w:rsidRPr="00831CA2">
        <w:rPr>
          <w:rFonts w:ascii="Times New Roman" w:hAnsi="Times New Roman" w:cs="Times New Roman"/>
          <w:sz w:val="24"/>
          <w:szCs w:val="24"/>
        </w:rPr>
        <w:lastRenderedPageBreak/>
        <w:t>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 магистратуры.</w:t>
      </w:r>
    </w:p>
    <w:p w:rsidR="00831CA2" w:rsidRPr="00831CA2" w:rsidRDefault="00831CA2" w:rsidP="00831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CA2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831CA2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 w:rsidRPr="00831CA2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831CA2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831CA2">
        <w:rPr>
          <w:rFonts w:ascii="Times New Roman" w:hAnsi="Times New Roman" w:cs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CA2" w:rsidRPr="00831CA2" w:rsidRDefault="00831CA2" w:rsidP="00831CA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76901" w:rsidRPr="00831CA2" w:rsidRDefault="00676901" w:rsidP="0083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901" w:rsidRPr="00831CA2" w:rsidSect="009A3D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A2"/>
    <w:rsid w:val="00676901"/>
    <w:rsid w:val="008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7F46219904B97D31D348092B9AF7E7CE40F84876911E05CDB38473D4D1547B1898E3F6B239863V23AM" TargetMode="External"/><Relationship Id="rId13" Type="http://schemas.openxmlformats.org/officeDocument/2006/relationships/hyperlink" Target="consultantplus://offline/ref=66D7F46219904B97D31D348092B9AF7E7CE70D85856E11E05CDB38473D4D1547B1898E3F6B239C62V23CM" TargetMode="External"/><Relationship Id="rId18" Type="http://schemas.openxmlformats.org/officeDocument/2006/relationships/hyperlink" Target="consultantplus://offline/ref=66D7F46219904B97D31D348092B9AF7E7FE00D86866D11E05CDB38473D4D1547B1898E3F6B239866V23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7F46219904B97D31D348092B9AF7E7CE407878E6911E05CDB38473D4D1547B1898E3F6B239861V239M" TargetMode="External"/><Relationship Id="rId12" Type="http://schemas.openxmlformats.org/officeDocument/2006/relationships/hyperlink" Target="consultantplus://offline/ref=66D7F46219904B97D31D348092B9AF7E7CE407878E6911E05CDB38473D4D1547B1898E3F6B239865V239M" TargetMode="External"/><Relationship Id="rId17" Type="http://schemas.openxmlformats.org/officeDocument/2006/relationships/hyperlink" Target="consultantplus://offline/ref=66D7F46219904B97D31D348092B9AF7E7FE00F82806511E05CDB38473D4D1547B1898E3F6B239866V23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7F46219904B97D31D348092B9AF7E7FE40D83876B11E05CDB38473D4D1547B1898E3F6B239867V231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7F46219904B97D31D348092B9AF7E7CE70D85856E11E05CDB38473D4D1547B1898E3F6B239C62V23BM" TargetMode="External"/><Relationship Id="rId11" Type="http://schemas.openxmlformats.org/officeDocument/2006/relationships/hyperlink" Target="consultantplus://offline/ref=66D7F46219904B97D31D348092B9AF7E7CE70D85856E11E05CDB38473D4D1547B1898E3F6B239C62V23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D7F46219904B97D31D348092B9AF7E7CE70E83826911E05CDB38473DV43DM" TargetMode="External"/><Relationship Id="rId10" Type="http://schemas.openxmlformats.org/officeDocument/2006/relationships/hyperlink" Target="consultantplus://offline/ref=66D7F46219904B97D31D348092B9AF7E7FE207818E6B11E05CDB38473D4D1547B1898E3F6B229A65V23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7F46219904B97D31D348092B9AF7E7FE409848F6A11E05CDB38473DV43DM" TargetMode="External"/><Relationship Id="rId14" Type="http://schemas.openxmlformats.org/officeDocument/2006/relationships/hyperlink" Target="consultantplus://offline/ref=66D7F46219904B97D31D348092B9AF7E7CED0C83836F11E05CDB38473DV4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Бастракова Наталья Сергеевна</dc:creator>
  <cp:lastModifiedBy>Бастракова Наталья Сергеевна</cp:lastModifiedBy>
  <cp:revision>1</cp:revision>
  <dcterms:created xsi:type="dcterms:W3CDTF">2018-01-15T12:55:00Z</dcterms:created>
  <dcterms:modified xsi:type="dcterms:W3CDTF">2018-01-15T12:55:00Z</dcterms:modified>
</cp:coreProperties>
</file>